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23E636BC"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61152">
        <w:rPr>
          <w:rFonts w:asciiTheme="minorEastAsia" w:hAnsiTheme="minorEastAsia" w:hint="eastAsia"/>
        </w:rPr>
        <w:t>武蔵村山市長</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61152"/>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2023-04-12T06:00:00Z</dcterms:created>
  <dcterms:modified xsi:type="dcterms:W3CDTF">2023-04-12T06:00:00Z</dcterms:modified>
</cp:coreProperties>
</file>